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EE" w:rsidRDefault="00545C52">
      <w:pPr>
        <w:spacing w:line="260" w:lineRule="exact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:</w:t>
      </w:r>
    </w:p>
    <w:p w:rsidR="008F64EE" w:rsidRDefault="00545C52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报价单</w:t>
      </w:r>
    </w:p>
    <w:tbl>
      <w:tblPr>
        <w:tblW w:w="9875" w:type="dxa"/>
        <w:tblInd w:w="-845" w:type="dxa"/>
        <w:tblLook w:val="04A0" w:firstRow="1" w:lastRow="0" w:firstColumn="1" w:lastColumn="0" w:noHBand="0" w:noVBand="1"/>
      </w:tblPr>
      <w:tblGrid>
        <w:gridCol w:w="554"/>
        <w:gridCol w:w="1536"/>
        <w:gridCol w:w="2611"/>
        <w:gridCol w:w="951"/>
        <w:gridCol w:w="986"/>
        <w:gridCol w:w="835"/>
        <w:gridCol w:w="1034"/>
        <w:gridCol w:w="1368"/>
      </w:tblGrid>
      <w:tr w:rsidR="008F64EE">
        <w:trPr>
          <w:trHeight w:val="315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项目编码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计量单位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工程数量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</w:tr>
      <w:tr w:rsidR="008F64EE">
        <w:trPr>
          <w:trHeight w:val="315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综合单价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暂估价</w:t>
            </w:r>
          </w:p>
        </w:tc>
      </w:tr>
      <w:tr w:rsidR="008F64EE">
        <w:trPr>
          <w:trHeight w:val="3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拆除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3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011612002001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卫生洁具拆除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3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011613001001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灯具拆除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3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011610002001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金属门窗拆除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011605001001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平面块料拆除【原有地砖及基层铲除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不含垃圾外运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12.9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011605002001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立面块料拆除【原有墙砖及墙上附属物拆除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不含垃圾外运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21.59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9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011601001001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砖砌体拆除【原有砖砌隔墙、水槽、管道及隔断拆除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不含垃圾外运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0.294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010801001001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木质门【原有卫生间门拆除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不含垃圾外运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樘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011601001002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垃圾清运【拆除垃圾及废弃物外运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运距自行考虑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3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客厅、房间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3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010802004001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防盗门【钢质防盗门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2200*1050;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平整面；款式由甲方指定；包含锁、五金】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樘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011301001001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天棚抹灰【天棚批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胶白水泥腻子、刷乳胶漆各二遍】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48.78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011407001001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墙面喷刷涂料【顶墙基层腻子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批、刷二遍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胶白水泥腻子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乳胶漆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130.086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9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010801001002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木质门【成品单开套装实木装饰门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900*2100;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（含门套五金件等）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樘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011102003001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块料楼地面【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厚干硬性水泥砂浆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;300*300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9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010807001001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金属窗【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系列铝合金推拉窗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中空玻璃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(5+9A+5);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含窗边修补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等】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8.58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3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厨房、卫生间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010904002001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楼（地）面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涂膜防水【聚合物水泥防水涂料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JS-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Ⅱ型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15.007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020509020001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门头板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余塞板【厨房封门头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木工板制作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面敷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石膏板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011102003002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块料楼地面【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厚干硬性水泥砂浆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;400*400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同质地砖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6.901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011204003001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块料墙面【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1:3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水泥砂浆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;6mm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素水泥浆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;400*800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同质墙砖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36.9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030413004001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管道包封【封管道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水泥砂浆砌砖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011201001001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墙面一般抹灰【包封管道抹面、墙面粉刷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36.9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011505001001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洗漱台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【洗手池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含龙头、下水弯管】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9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011501007001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厨房壁柜【厨房上下柜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实木免漆板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模压门板含五金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石英石台面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);,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双槽不锈钢水槽含龙头及下水配件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拉篮及调味篮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9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011302001001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吊顶天棚【简单吊顶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铝方板专用龙骨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;0.7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厚覆膜铝方板含铝条封边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留灯孔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6.901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3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五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126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030404017001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配电箱【插座配电箱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PZ-30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电箱外壳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厚热镀锌钢板、表面喷塑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防水、防尘型、防护等级不低于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IP54;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含电箱基础底座、电箱接地及接地电阻测试】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3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030411004001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配线【管内穿线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;BV-10mm2;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9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030411001001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配管【阻燃型硬塑料管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PVC25;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砖、混结构暗配、吊顶内明配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含墙体开管槽修补粉刷补槽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9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030411001002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配管【阻燃型硬塑料管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PVC20;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砖、混结构暗配、吊顶内明配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含墙体开管槽修补粉刷补槽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3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030411004002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配线【管内穿线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;BV-2.5mm2;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3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030412005001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荧光灯【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吸顶灯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;12W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3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030404034001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照明开关【开关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距地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1.3m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暗装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3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030404035001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插座【五孔插座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3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030411006001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墙面开洞【墙面开洞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3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030411006002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接线盒【暗装接线盒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030404017002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弱电箱【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300*400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弱电电箱；含墙面开洞补洞】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030502012001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信息插座【网络插座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电脑加电视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)TD+TV;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030502005001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双绞线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【六类非屏蔽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UTP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3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六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给排水工程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031001006001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塑料管【给水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PP-R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热熔连接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;DN25;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含管件、消毒冲洗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031001006002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塑料管【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UPVC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排水管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;DN50;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承插接口粘接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031004014001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给、排水附（配）件【普通地漏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;DN50;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3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031004006001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大便器【成套坐便器安装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3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031004010001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淋浴器【淋浴龙头及花洒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031004003001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洗脸盆【浴室柜全套组合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含洗脸盆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洗手台柜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卫生间吊柜镜子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031003001001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螺纹阀门【给水角阀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DN25;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031004014002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给、排水附（配）件【洗衣机水龙头安装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031001007001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复合管【专用铝塑复合煤气管道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DN20;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3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院中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9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040202011001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碎石【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厚碎石垫层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工作内容含路基整理碾压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;20CM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建筑垃圾垫层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21.964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040204002001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人行道基层【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砼人行道细石混凝土垫层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含模板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10cm;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21.964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030413004002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墙面零星砌筑修补【水泥砂浆砌砖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0.576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6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011201001002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墙面一般抹灰【包封管道抹面、墙面粉刷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27.183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64EE">
        <w:trPr>
          <w:trHeight w:val="3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545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4EE" w:rsidRDefault="008F64E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F64EE" w:rsidRDefault="008F64EE">
      <w:pPr>
        <w:pStyle w:val="Default"/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8F64EE">
      <w:pPr>
        <w:pStyle w:val="Default"/>
        <w:jc w:val="center"/>
        <w:rPr>
          <w:rFonts w:ascii="Times New Roman" w:cs="Times New Roman"/>
          <w:b/>
          <w:bCs/>
          <w:kern w:val="2"/>
          <w:szCs w:val="20"/>
        </w:rPr>
      </w:pPr>
    </w:p>
    <w:p w:rsidR="008F64EE" w:rsidRDefault="00545C52">
      <w:pPr>
        <w:pStyle w:val="Default"/>
        <w:jc w:val="center"/>
      </w:pPr>
      <w:r>
        <w:rPr>
          <w:rFonts w:ascii="Times New Roman" w:cs="Times New Roman" w:hint="eastAsia"/>
          <w:b/>
          <w:bCs/>
          <w:kern w:val="2"/>
          <w:szCs w:val="20"/>
        </w:rPr>
        <w:lastRenderedPageBreak/>
        <w:t>材料品牌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3475"/>
        <w:gridCol w:w="3890"/>
        <w:gridCol w:w="788"/>
      </w:tblGrid>
      <w:tr w:rsidR="008F64EE">
        <w:trPr>
          <w:trHeight w:val="645"/>
          <w:jc w:val="center"/>
        </w:trPr>
        <w:tc>
          <w:tcPr>
            <w:tcW w:w="4606" w:type="dxa"/>
            <w:gridSpan w:val="2"/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890" w:type="dxa"/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788" w:type="dxa"/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8F64EE">
        <w:trPr>
          <w:trHeight w:val="402"/>
          <w:jc w:val="center"/>
        </w:trPr>
        <w:tc>
          <w:tcPr>
            <w:tcW w:w="1131" w:type="dxa"/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75" w:type="dxa"/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墙砖、地砖</w:t>
            </w:r>
          </w:p>
        </w:tc>
        <w:tc>
          <w:tcPr>
            <w:tcW w:w="3890" w:type="dxa"/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F64EE">
        <w:trPr>
          <w:trHeight w:val="402"/>
          <w:jc w:val="center"/>
        </w:trPr>
        <w:tc>
          <w:tcPr>
            <w:tcW w:w="1131" w:type="dxa"/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475" w:type="dxa"/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乳胶漆</w:t>
            </w:r>
          </w:p>
        </w:tc>
        <w:tc>
          <w:tcPr>
            <w:tcW w:w="3890" w:type="dxa"/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F64EE">
        <w:trPr>
          <w:trHeight w:val="402"/>
          <w:jc w:val="center"/>
        </w:trPr>
        <w:tc>
          <w:tcPr>
            <w:tcW w:w="1131" w:type="dxa"/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475" w:type="dxa"/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铝合金方板</w:t>
            </w:r>
          </w:p>
        </w:tc>
        <w:tc>
          <w:tcPr>
            <w:tcW w:w="3890" w:type="dxa"/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F64EE">
        <w:trPr>
          <w:trHeight w:val="402"/>
          <w:jc w:val="center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开关插座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F64EE">
        <w:trPr>
          <w:trHeight w:val="402"/>
          <w:jc w:val="center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配电箱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F64EE">
        <w:trPr>
          <w:trHeight w:val="402"/>
          <w:jc w:val="center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电箱元器件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F64EE">
        <w:trPr>
          <w:trHeight w:val="402"/>
          <w:jc w:val="center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照明灯具及其主要元器件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F64EE">
        <w:trPr>
          <w:trHeight w:val="402"/>
          <w:jc w:val="center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洁具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F64EE">
        <w:trPr>
          <w:trHeight w:val="402"/>
          <w:jc w:val="center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电线、电缆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F64EE">
        <w:trPr>
          <w:trHeight w:val="402"/>
          <w:jc w:val="center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PPR</w:t>
            </w:r>
            <w:r>
              <w:rPr>
                <w:rFonts w:ascii="宋体" w:hAnsi="宋体" w:cs="宋体" w:hint="eastAsia"/>
                <w:sz w:val="22"/>
                <w:szCs w:val="22"/>
              </w:rPr>
              <w:t>管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F64EE">
        <w:trPr>
          <w:trHeight w:val="405"/>
          <w:jc w:val="center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UPVC</w:t>
            </w:r>
            <w:r>
              <w:rPr>
                <w:rFonts w:ascii="宋体" w:hAnsi="宋体" w:cs="宋体" w:hint="eastAsia"/>
                <w:sz w:val="22"/>
                <w:szCs w:val="22"/>
              </w:rPr>
              <w:t>管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F64EE">
        <w:trPr>
          <w:trHeight w:val="402"/>
          <w:jc w:val="center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545C52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防盗门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F64EE">
        <w:trPr>
          <w:trHeight w:val="402"/>
          <w:jc w:val="center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E" w:rsidRDefault="008F64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8F64EE" w:rsidRDefault="008F64EE">
      <w:pPr>
        <w:pStyle w:val="Default"/>
      </w:pPr>
    </w:p>
    <w:p w:rsidR="008F64EE" w:rsidRDefault="008F64EE"/>
    <w:sectPr w:rsidR="008F64EE">
      <w:headerReference w:type="default" r:id="rId8"/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52" w:rsidRDefault="00545C52">
      <w:r>
        <w:separator/>
      </w:r>
    </w:p>
  </w:endnote>
  <w:endnote w:type="continuationSeparator" w:id="0">
    <w:p w:rsidR="00545C52" w:rsidRDefault="0054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52" w:rsidRDefault="00545C52">
      <w:r>
        <w:separator/>
      </w:r>
    </w:p>
  </w:footnote>
  <w:footnote w:type="continuationSeparator" w:id="0">
    <w:p w:rsidR="00545C52" w:rsidRDefault="00545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EE" w:rsidRDefault="008F64E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A4C12"/>
    <w:rsid w:val="00545C52"/>
    <w:rsid w:val="008F64EE"/>
    <w:rsid w:val="00F91A56"/>
    <w:rsid w:val="3D6F5841"/>
    <w:rsid w:val="427A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3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F91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91A5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3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F91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91A5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431</Words>
  <Characters>2463</Characters>
  <Application>Microsoft Office Word</Application>
  <DocSecurity>0</DocSecurity>
  <Lines>20</Lines>
  <Paragraphs>5</Paragraphs>
  <ScaleCrop>false</ScaleCrop>
  <Company>微软中国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李朋</dc:creator>
  <cp:lastModifiedBy>微软用户</cp:lastModifiedBy>
  <cp:revision>2</cp:revision>
  <dcterms:created xsi:type="dcterms:W3CDTF">2022-02-28T05:27:00Z</dcterms:created>
  <dcterms:modified xsi:type="dcterms:W3CDTF">2022-02-28T05:27:00Z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2608BB70E044492EB5A770154355CB66</vt:lpwstr>
  </property>
</Properties>
</file>